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F7C97" w14:textId="77777777" w:rsidR="00F736ED" w:rsidRDefault="00F736ED">
      <w:pPr>
        <w:ind w:left="0" w:hanging="2"/>
        <w:rPr>
          <w:rFonts w:ascii="Arial" w:eastAsia="Arial" w:hAnsi="Arial" w:cs="Arial"/>
        </w:rPr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48"/>
        <w:gridCol w:w="4372"/>
      </w:tblGrid>
      <w:tr w:rsidR="00F736ED" w14:paraId="4353496B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B9AED" w14:textId="77777777" w:rsidR="00F736ED" w:rsidRDefault="00260F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DISCIPLINA:</w:t>
            </w:r>
            <w:r w:rsidR="003F392B">
              <w:rPr>
                <w:rFonts w:ascii="Arial" w:eastAsia="Arial" w:hAnsi="Arial" w:cs="Arial"/>
                <w:color w:val="000000"/>
              </w:rPr>
              <w:t xml:space="preserve"> Sistema prediais hidrossanitários, de gás e de s</w:t>
            </w:r>
            <w:r>
              <w:rPr>
                <w:rFonts w:ascii="Arial" w:eastAsia="Arial" w:hAnsi="Arial" w:cs="Arial"/>
                <w:color w:val="000000"/>
              </w:rPr>
              <w:t>eguran</w:t>
            </w:r>
            <w:r w:rsidR="003F392B">
              <w:rPr>
                <w:rFonts w:ascii="Arial" w:eastAsia="Arial" w:hAnsi="Arial" w:cs="Arial"/>
              </w:rPr>
              <w:t>ça c</w:t>
            </w:r>
            <w:r>
              <w:rPr>
                <w:rFonts w:ascii="Arial" w:eastAsia="Arial" w:hAnsi="Arial" w:cs="Arial"/>
              </w:rPr>
              <w:t>ontra</w:t>
            </w:r>
            <w:r w:rsidR="003F392B">
              <w:rPr>
                <w:rFonts w:ascii="Arial" w:eastAsia="Arial" w:hAnsi="Arial" w:cs="Arial"/>
                <w:color w:val="000000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</w:rPr>
              <w:t>ncêndios</w:t>
            </w:r>
          </w:p>
        </w:tc>
      </w:tr>
      <w:tr w:rsidR="00F736ED" w14:paraId="412209CC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671C" w14:textId="77777777" w:rsidR="00F736ED" w:rsidRDefault="00260F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Vigência: </w:t>
            </w:r>
            <w:r>
              <w:rPr>
                <w:rFonts w:ascii="Arial" w:eastAsia="Arial" w:hAnsi="Arial" w:cs="Arial"/>
                <w:color w:val="000000"/>
              </w:rPr>
              <w:t>a partir de 2021/1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83D4" w14:textId="6A04B353" w:rsidR="00F736ED" w:rsidRDefault="00260F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Período letivo:</w:t>
            </w:r>
            <w:r>
              <w:rPr>
                <w:rFonts w:ascii="Arial" w:eastAsia="Arial" w:hAnsi="Arial" w:cs="Arial"/>
                <w:color w:val="000000"/>
              </w:rPr>
              <w:t xml:space="preserve"> 6º </w:t>
            </w:r>
            <w:r w:rsidR="00004C3C">
              <w:rPr>
                <w:rFonts w:ascii="Arial" w:eastAsia="Arial" w:hAnsi="Arial" w:cs="Arial"/>
                <w:color w:val="000000"/>
              </w:rPr>
              <w:t>s</w:t>
            </w:r>
            <w:r>
              <w:rPr>
                <w:rFonts w:ascii="Arial" w:eastAsia="Arial" w:hAnsi="Arial" w:cs="Arial"/>
                <w:color w:val="000000"/>
              </w:rPr>
              <w:t>emestre</w:t>
            </w:r>
          </w:p>
        </w:tc>
      </w:tr>
      <w:tr w:rsidR="00F736ED" w14:paraId="6A2429A6" w14:textId="77777777"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B046" w14:textId="77777777" w:rsidR="00F736ED" w:rsidRDefault="00260F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Carga horária total: </w:t>
            </w:r>
            <w:r>
              <w:rPr>
                <w:rFonts w:ascii="Arial" w:eastAsia="Arial" w:hAnsi="Arial" w:cs="Arial"/>
                <w:color w:val="000000"/>
              </w:rPr>
              <w:t>75 h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4D1C" w14:textId="77777777" w:rsidR="00F736ED" w:rsidRDefault="003F39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Código:</w:t>
            </w:r>
          </w:p>
        </w:tc>
      </w:tr>
      <w:tr w:rsidR="00F736ED" w14:paraId="348CF7C4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EB686" w14:textId="77777777" w:rsidR="00F736ED" w:rsidRDefault="00260FF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Ementa: </w:t>
            </w:r>
            <w:r>
              <w:rPr>
                <w:rFonts w:ascii="Arial" w:eastAsia="Arial" w:hAnsi="Arial" w:cs="Arial"/>
              </w:rPr>
              <w:t>Aplicação dos conceitos fundamentais de hidráulica e dos critérios de normas técnicas na elaboração e execução de projetos de instalações prediais hidrossanitárias, de gás e de prevenção e combate a incêndios.</w:t>
            </w:r>
          </w:p>
        </w:tc>
      </w:tr>
    </w:tbl>
    <w:p w14:paraId="1F09DFD0" w14:textId="77777777" w:rsidR="00F736ED" w:rsidRDefault="00F736ED">
      <w:pPr>
        <w:ind w:left="0" w:hanging="2"/>
        <w:rPr>
          <w:rFonts w:ascii="Arial" w:eastAsia="Arial" w:hAnsi="Arial" w:cs="Arial"/>
          <w:color w:val="000000"/>
        </w:rPr>
      </w:pPr>
    </w:p>
    <w:p w14:paraId="58DBFE96" w14:textId="77777777" w:rsidR="00F736ED" w:rsidRDefault="00260FFF">
      <w:pPr>
        <w:ind w:left="0" w:hanging="2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Conteúdos</w:t>
      </w:r>
    </w:p>
    <w:p w14:paraId="480207E8" w14:textId="77777777" w:rsidR="00276B4E" w:rsidRDefault="00276B4E" w:rsidP="003F39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AC29A09" w14:textId="025668E0" w:rsidR="00F736ED" w:rsidRDefault="00260FFF" w:rsidP="003F39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UNIDADE I </w:t>
      </w:r>
      <w:r w:rsidR="003F392B">
        <w:rPr>
          <w:rFonts w:ascii="Arial" w:eastAsia="Arial" w:hAnsi="Arial" w:cs="Arial"/>
          <w:color w:val="000000"/>
        </w:rPr>
        <w:t>- Instalações prediais de água f</w:t>
      </w:r>
      <w:r>
        <w:rPr>
          <w:rFonts w:ascii="Arial" w:eastAsia="Arial" w:hAnsi="Arial" w:cs="Arial"/>
          <w:color w:val="000000"/>
        </w:rPr>
        <w:t>ria</w:t>
      </w:r>
    </w:p>
    <w:p w14:paraId="669C0111" w14:textId="77777777" w:rsidR="00F736ED" w:rsidRDefault="003F392B" w:rsidP="003F392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1.1 </w:t>
      </w:r>
      <w:r w:rsidR="00260FFF">
        <w:rPr>
          <w:rFonts w:ascii="Arial" w:eastAsia="Arial" w:hAnsi="Arial" w:cs="Arial"/>
          <w:color w:val="000000"/>
        </w:rPr>
        <w:t>Terminologia da NBR 5626/2020</w:t>
      </w:r>
    </w:p>
    <w:p w14:paraId="09E1D30E" w14:textId="77777777" w:rsidR="00F736ED" w:rsidRDefault="003F392B" w:rsidP="003F392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1.2 </w:t>
      </w:r>
      <w:r w:rsidR="00260FFF">
        <w:rPr>
          <w:rFonts w:ascii="Arial" w:eastAsia="Arial" w:hAnsi="Arial" w:cs="Arial"/>
          <w:color w:val="000000"/>
        </w:rPr>
        <w:t>Sistemas de abastecimento</w:t>
      </w:r>
    </w:p>
    <w:p w14:paraId="376A6673" w14:textId="77777777" w:rsidR="00F736ED" w:rsidRDefault="003F392B" w:rsidP="003F392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1.3 </w:t>
      </w:r>
      <w:r w:rsidR="00260FFF">
        <w:rPr>
          <w:rFonts w:ascii="Arial" w:eastAsia="Arial" w:hAnsi="Arial" w:cs="Arial"/>
          <w:color w:val="000000"/>
        </w:rPr>
        <w:t>Sistemas de distribuição</w:t>
      </w:r>
    </w:p>
    <w:p w14:paraId="07E9239F" w14:textId="77777777" w:rsidR="00F736ED" w:rsidRDefault="003F392B" w:rsidP="003F392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1.4 </w:t>
      </w:r>
      <w:r w:rsidR="00260FFF">
        <w:rPr>
          <w:rFonts w:ascii="Arial" w:eastAsia="Arial" w:hAnsi="Arial" w:cs="Arial"/>
          <w:color w:val="000000"/>
        </w:rPr>
        <w:t>Consumo de água nos prédios</w:t>
      </w:r>
    </w:p>
    <w:p w14:paraId="16083613" w14:textId="77777777" w:rsidR="00F736ED" w:rsidRDefault="003F392B" w:rsidP="003F392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1.5 </w:t>
      </w:r>
      <w:r w:rsidR="00260FFF">
        <w:rPr>
          <w:rFonts w:ascii="Arial" w:eastAsia="Arial" w:hAnsi="Arial" w:cs="Arial"/>
          <w:color w:val="000000"/>
        </w:rPr>
        <w:t>Ramal predial</w:t>
      </w:r>
    </w:p>
    <w:p w14:paraId="540F29ED" w14:textId="77777777" w:rsidR="00F736ED" w:rsidRDefault="003F392B" w:rsidP="003F392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1.6 </w:t>
      </w:r>
      <w:r w:rsidR="00260FFF">
        <w:rPr>
          <w:rFonts w:ascii="Arial" w:eastAsia="Arial" w:hAnsi="Arial" w:cs="Arial"/>
          <w:color w:val="000000"/>
        </w:rPr>
        <w:t>Reservatórios</w:t>
      </w:r>
    </w:p>
    <w:p w14:paraId="64C85DAF" w14:textId="77777777" w:rsidR="00F736ED" w:rsidRDefault="003F392B" w:rsidP="003F392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1.7 </w:t>
      </w:r>
      <w:r w:rsidR="00260FFF">
        <w:rPr>
          <w:rFonts w:ascii="Arial" w:eastAsia="Arial" w:hAnsi="Arial" w:cs="Arial"/>
          <w:color w:val="000000"/>
        </w:rPr>
        <w:t>Dimensionamento da instalação elevatória</w:t>
      </w:r>
    </w:p>
    <w:p w14:paraId="75BEF4B0" w14:textId="77777777" w:rsidR="00F736ED" w:rsidRDefault="003F392B" w:rsidP="003F392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1.8 </w:t>
      </w:r>
      <w:r w:rsidR="00260FFF">
        <w:rPr>
          <w:rFonts w:ascii="Arial" w:eastAsia="Arial" w:hAnsi="Arial" w:cs="Arial"/>
          <w:color w:val="000000"/>
        </w:rPr>
        <w:t>Barrilete ou colar de distribuição</w:t>
      </w:r>
    </w:p>
    <w:p w14:paraId="39BDF647" w14:textId="77777777" w:rsidR="00F736ED" w:rsidRDefault="003F392B" w:rsidP="003F392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1.9 </w:t>
      </w:r>
      <w:r w:rsidR="00260FFF">
        <w:rPr>
          <w:rFonts w:ascii="Arial" w:eastAsia="Arial" w:hAnsi="Arial" w:cs="Arial"/>
          <w:color w:val="000000"/>
        </w:rPr>
        <w:t>Dimensionamento da tubulação</w:t>
      </w:r>
    </w:p>
    <w:p w14:paraId="479DE2D3" w14:textId="77777777" w:rsidR="00F736ED" w:rsidRDefault="003F392B" w:rsidP="003F392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1.10 </w:t>
      </w:r>
      <w:r w:rsidR="00260FFF">
        <w:rPr>
          <w:rFonts w:ascii="Arial" w:eastAsia="Arial" w:hAnsi="Arial" w:cs="Arial"/>
          <w:color w:val="000000"/>
        </w:rPr>
        <w:t>Proteção contra refluxo de água</w:t>
      </w:r>
    </w:p>
    <w:p w14:paraId="0F139B1D" w14:textId="77777777" w:rsidR="00F736ED" w:rsidRDefault="003F392B" w:rsidP="003F392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1.11 </w:t>
      </w:r>
      <w:r w:rsidR="00260FFF">
        <w:rPr>
          <w:rFonts w:ascii="Arial" w:eastAsia="Arial" w:hAnsi="Arial" w:cs="Arial"/>
          <w:color w:val="000000"/>
        </w:rPr>
        <w:t>Materiais e recomendações gerais</w:t>
      </w:r>
    </w:p>
    <w:p w14:paraId="7E324E92" w14:textId="77777777" w:rsidR="003F392B" w:rsidRDefault="003F392B" w:rsidP="003F39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6AFD293A" w14:textId="77777777" w:rsidR="00F736ED" w:rsidRDefault="003F392B" w:rsidP="003F39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UNIDADE II - Instalações prediais de água q</w:t>
      </w:r>
      <w:r w:rsidR="00260FFF">
        <w:rPr>
          <w:rFonts w:ascii="Arial" w:eastAsia="Arial" w:hAnsi="Arial" w:cs="Arial"/>
          <w:color w:val="000000"/>
        </w:rPr>
        <w:t>uente</w:t>
      </w:r>
    </w:p>
    <w:p w14:paraId="0D238F62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560" w:firstLineChars="0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2.1 </w:t>
      </w:r>
      <w:r w:rsidR="00260FFF">
        <w:rPr>
          <w:rFonts w:ascii="Arial" w:eastAsia="Arial" w:hAnsi="Arial" w:cs="Arial"/>
          <w:color w:val="000000"/>
        </w:rPr>
        <w:t>Terminologia da NBR 5626/2020</w:t>
      </w:r>
    </w:p>
    <w:p w14:paraId="28405914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560" w:firstLineChars="0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2.2 </w:t>
      </w:r>
      <w:r w:rsidR="00260FFF">
        <w:rPr>
          <w:rFonts w:ascii="Arial" w:eastAsia="Arial" w:hAnsi="Arial" w:cs="Arial"/>
          <w:color w:val="000000"/>
        </w:rPr>
        <w:t>Sistemas de aquecimento: individual, central privado, central coletivo, com energia solar</w:t>
      </w:r>
    </w:p>
    <w:p w14:paraId="47A609C4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560" w:firstLineChars="0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2.3 </w:t>
      </w:r>
      <w:r w:rsidR="00260FFF">
        <w:rPr>
          <w:rFonts w:ascii="Arial" w:eastAsia="Arial" w:hAnsi="Arial" w:cs="Arial"/>
          <w:color w:val="000000"/>
        </w:rPr>
        <w:t>Consumo de água quente</w:t>
      </w:r>
    </w:p>
    <w:p w14:paraId="47D17234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560" w:firstLineChars="0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2.4 </w:t>
      </w:r>
      <w:r w:rsidR="00260FFF">
        <w:rPr>
          <w:rFonts w:ascii="Arial" w:eastAsia="Arial" w:hAnsi="Arial" w:cs="Arial"/>
          <w:color w:val="000000"/>
        </w:rPr>
        <w:t>Considerações hidráulicas</w:t>
      </w:r>
    </w:p>
    <w:p w14:paraId="4917121A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560" w:firstLineChars="0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2.5 </w:t>
      </w:r>
      <w:r w:rsidR="00260FFF">
        <w:rPr>
          <w:rFonts w:ascii="Arial" w:eastAsia="Arial" w:hAnsi="Arial" w:cs="Arial"/>
          <w:color w:val="000000"/>
        </w:rPr>
        <w:t>Dimensionamento dos aquecedores</w:t>
      </w:r>
    </w:p>
    <w:p w14:paraId="151E47CA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560" w:firstLineChars="0" w:hanging="42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2.6 </w:t>
      </w:r>
      <w:r w:rsidR="00260FFF">
        <w:rPr>
          <w:rFonts w:ascii="Arial" w:eastAsia="Arial" w:hAnsi="Arial" w:cs="Arial"/>
          <w:color w:val="000000"/>
        </w:rPr>
        <w:t>Materiais e recomendações gerais</w:t>
      </w:r>
    </w:p>
    <w:p w14:paraId="45B4C9C7" w14:textId="77777777" w:rsidR="003F392B" w:rsidRDefault="003F392B" w:rsidP="003F39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43ADB661" w14:textId="77777777" w:rsidR="00F736ED" w:rsidRDefault="003F392B" w:rsidP="003F39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UNIDADE III - Instalações prediais de esgoto s</w:t>
      </w:r>
      <w:r w:rsidR="00260FFF">
        <w:rPr>
          <w:rFonts w:ascii="Arial" w:eastAsia="Arial" w:hAnsi="Arial" w:cs="Arial"/>
          <w:color w:val="000000"/>
        </w:rPr>
        <w:t>anitário</w:t>
      </w:r>
    </w:p>
    <w:p w14:paraId="7A3A6DF8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3.1 </w:t>
      </w:r>
      <w:r w:rsidR="00260FFF">
        <w:rPr>
          <w:rFonts w:ascii="Arial" w:eastAsia="Arial" w:hAnsi="Arial" w:cs="Arial"/>
          <w:color w:val="000000"/>
        </w:rPr>
        <w:t>Terminologia da NBR 8160/1999</w:t>
      </w:r>
    </w:p>
    <w:p w14:paraId="2E99AEEB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3.2 </w:t>
      </w:r>
      <w:r w:rsidR="00260FFF">
        <w:rPr>
          <w:rFonts w:ascii="Arial" w:eastAsia="Arial" w:hAnsi="Arial" w:cs="Arial"/>
          <w:color w:val="000000"/>
        </w:rPr>
        <w:t>Ramais de descarga e de esgoto</w:t>
      </w:r>
    </w:p>
    <w:p w14:paraId="58D82F88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3.3 </w:t>
      </w:r>
      <w:r w:rsidR="00260FFF">
        <w:rPr>
          <w:rFonts w:ascii="Arial" w:eastAsia="Arial" w:hAnsi="Arial" w:cs="Arial"/>
          <w:color w:val="000000"/>
        </w:rPr>
        <w:t>Desconectores</w:t>
      </w:r>
    </w:p>
    <w:p w14:paraId="78A45D27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3.4 </w:t>
      </w:r>
      <w:r w:rsidR="00260FFF">
        <w:rPr>
          <w:rFonts w:ascii="Arial" w:eastAsia="Arial" w:hAnsi="Arial" w:cs="Arial"/>
          <w:color w:val="000000"/>
        </w:rPr>
        <w:t>Tubos de queda</w:t>
      </w:r>
    </w:p>
    <w:p w14:paraId="54969ED2" w14:textId="4B9FFD96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3.5 </w:t>
      </w:r>
      <w:r w:rsidR="00260FFF">
        <w:rPr>
          <w:rFonts w:ascii="Arial" w:eastAsia="Arial" w:hAnsi="Arial" w:cs="Arial"/>
          <w:color w:val="000000"/>
        </w:rPr>
        <w:t>Subcoletor e coletor predial</w:t>
      </w:r>
    </w:p>
    <w:p w14:paraId="3157CFA8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3.6 </w:t>
      </w:r>
      <w:r w:rsidR="00260FFF">
        <w:rPr>
          <w:rFonts w:ascii="Arial" w:eastAsia="Arial" w:hAnsi="Arial" w:cs="Arial"/>
          <w:color w:val="000000"/>
        </w:rPr>
        <w:t>Dispositivos complementares</w:t>
      </w:r>
    </w:p>
    <w:p w14:paraId="10C6330E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3.7 </w:t>
      </w:r>
      <w:r w:rsidR="00260FFF">
        <w:rPr>
          <w:rFonts w:ascii="Arial" w:eastAsia="Arial" w:hAnsi="Arial" w:cs="Arial"/>
          <w:color w:val="000000"/>
        </w:rPr>
        <w:t>Componentes do subsistema de ventilação</w:t>
      </w:r>
    </w:p>
    <w:p w14:paraId="1EA15D74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3.8 </w:t>
      </w:r>
      <w:r w:rsidR="00260FFF">
        <w:rPr>
          <w:rFonts w:ascii="Arial" w:eastAsia="Arial" w:hAnsi="Arial" w:cs="Arial"/>
        </w:rPr>
        <w:t>Sistema individual de tratamento de esgotos domésticos</w:t>
      </w:r>
    </w:p>
    <w:p w14:paraId="2F8AFBEA" w14:textId="77777777" w:rsidR="003F392B" w:rsidRDefault="003F392B" w:rsidP="003F39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1EF1282" w14:textId="77777777" w:rsidR="00F736ED" w:rsidRDefault="00DF7066" w:rsidP="003F39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UNIDADE IV - Instalações prediais de aguas p</w:t>
      </w:r>
      <w:r w:rsidR="00260FFF">
        <w:rPr>
          <w:rFonts w:ascii="Arial" w:eastAsia="Arial" w:hAnsi="Arial" w:cs="Arial"/>
          <w:color w:val="000000"/>
        </w:rPr>
        <w:t>luviais</w:t>
      </w:r>
    </w:p>
    <w:p w14:paraId="4BA5B82D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4.1 </w:t>
      </w:r>
      <w:r w:rsidR="00260FFF">
        <w:rPr>
          <w:rFonts w:ascii="Arial" w:eastAsia="Arial" w:hAnsi="Arial" w:cs="Arial"/>
          <w:color w:val="000000"/>
        </w:rPr>
        <w:t>Terminologia da NBR 10844/1989</w:t>
      </w:r>
    </w:p>
    <w:p w14:paraId="2F9783F9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4.2 </w:t>
      </w:r>
      <w:r w:rsidR="00260FFF">
        <w:rPr>
          <w:rFonts w:ascii="Arial" w:eastAsia="Arial" w:hAnsi="Arial" w:cs="Arial"/>
          <w:color w:val="000000"/>
        </w:rPr>
        <w:t>Materiais e recomendações gerais</w:t>
      </w:r>
    </w:p>
    <w:p w14:paraId="62AEA7F8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 xml:space="preserve">4.3 </w:t>
      </w:r>
      <w:r w:rsidR="00260FFF">
        <w:rPr>
          <w:rFonts w:ascii="Arial" w:eastAsia="Arial" w:hAnsi="Arial" w:cs="Arial"/>
          <w:color w:val="000000"/>
        </w:rPr>
        <w:t>Dimensionamento</w:t>
      </w:r>
    </w:p>
    <w:p w14:paraId="4D6C6042" w14:textId="77777777" w:rsidR="00276B4E" w:rsidRDefault="00276B4E" w:rsidP="003F39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616EBDFE" w14:textId="10F62168" w:rsidR="00F736ED" w:rsidRDefault="00260FFF" w:rsidP="003F39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UNI</w:t>
      </w:r>
      <w:r w:rsidR="00DF7066">
        <w:rPr>
          <w:rFonts w:ascii="Arial" w:eastAsia="Arial" w:hAnsi="Arial" w:cs="Arial"/>
          <w:color w:val="000000"/>
        </w:rPr>
        <w:t>DADE V - Instalação predial de g</w:t>
      </w:r>
      <w:r>
        <w:rPr>
          <w:rFonts w:ascii="Arial" w:eastAsia="Arial" w:hAnsi="Arial" w:cs="Arial"/>
          <w:color w:val="000000"/>
        </w:rPr>
        <w:t>ás</w:t>
      </w:r>
    </w:p>
    <w:p w14:paraId="707B9E80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276" w:firstLineChars="0" w:hanging="14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5.1 </w:t>
      </w:r>
      <w:r w:rsidR="00260FFF">
        <w:rPr>
          <w:rFonts w:ascii="Arial" w:eastAsia="Arial" w:hAnsi="Arial" w:cs="Arial"/>
          <w:color w:val="000000"/>
        </w:rPr>
        <w:t>Terminologia da NBR 15526/2012</w:t>
      </w:r>
    </w:p>
    <w:p w14:paraId="517C7D8C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276" w:firstLineChars="0" w:hanging="14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5.2 </w:t>
      </w:r>
      <w:r w:rsidR="00260FFF">
        <w:rPr>
          <w:rFonts w:ascii="Arial" w:eastAsia="Arial" w:hAnsi="Arial" w:cs="Arial"/>
          <w:color w:val="000000"/>
        </w:rPr>
        <w:t>Materiais e recomendações gerais</w:t>
      </w:r>
    </w:p>
    <w:p w14:paraId="2FE9572D" w14:textId="77777777" w:rsidR="00F736ED" w:rsidRDefault="003F392B" w:rsidP="003F392B">
      <w:pPr>
        <w:tabs>
          <w:tab w:val="left" w:pos="1560"/>
          <w:tab w:val="left" w:pos="1701"/>
        </w:tabs>
        <w:spacing w:line="240" w:lineRule="auto"/>
        <w:ind w:leftChars="0" w:left="1276" w:firstLineChars="0" w:hanging="14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5.3 </w:t>
      </w:r>
      <w:r w:rsidR="00260FFF">
        <w:rPr>
          <w:rFonts w:ascii="Arial" w:eastAsia="Arial" w:hAnsi="Arial" w:cs="Arial"/>
          <w:color w:val="000000"/>
        </w:rPr>
        <w:t>Dimensionamento</w:t>
      </w:r>
    </w:p>
    <w:p w14:paraId="25C221BB" w14:textId="77777777" w:rsidR="003F392B" w:rsidRDefault="003F392B" w:rsidP="003F39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2394C83F" w14:textId="77777777" w:rsidR="00F736ED" w:rsidRDefault="00DF7066" w:rsidP="003F39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UNIDADE VI - Instalações prediais de segurança contra i</w:t>
      </w:r>
      <w:r w:rsidR="00260FFF">
        <w:rPr>
          <w:rFonts w:ascii="Arial" w:eastAsia="Arial" w:hAnsi="Arial" w:cs="Arial"/>
          <w:color w:val="000000"/>
        </w:rPr>
        <w:t>ncêndio</w:t>
      </w:r>
    </w:p>
    <w:p w14:paraId="1DD2CD0A" w14:textId="77777777" w:rsidR="00F736ED" w:rsidRDefault="001110FC" w:rsidP="001110FC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6.1 </w:t>
      </w:r>
      <w:r w:rsidR="00260FFF">
        <w:rPr>
          <w:rFonts w:ascii="Arial" w:eastAsia="Arial" w:hAnsi="Arial" w:cs="Arial"/>
          <w:color w:val="000000"/>
        </w:rPr>
        <w:t>Noções básicas sobre fogo</w:t>
      </w:r>
    </w:p>
    <w:p w14:paraId="3B10BC4B" w14:textId="77777777" w:rsidR="00F736ED" w:rsidRDefault="001110FC" w:rsidP="001110FC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6.2 </w:t>
      </w:r>
      <w:r w:rsidR="00260FFF">
        <w:rPr>
          <w:rFonts w:ascii="Arial" w:eastAsia="Arial" w:hAnsi="Arial" w:cs="Arial"/>
          <w:color w:val="000000"/>
        </w:rPr>
        <w:t>Categorias e classificação dos riscos de incêndio</w:t>
      </w:r>
    </w:p>
    <w:p w14:paraId="0C1463EA" w14:textId="77777777" w:rsidR="00F736ED" w:rsidRDefault="001110FC" w:rsidP="001110FC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6.3 </w:t>
      </w:r>
      <w:r w:rsidR="00260FFF">
        <w:rPr>
          <w:rFonts w:ascii="Arial" w:eastAsia="Arial" w:hAnsi="Arial" w:cs="Arial"/>
          <w:color w:val="000000"/>
        </w:rPr>
        <w:t>Tipos de prevenção e combate à incêndio</w:t>
      </w:r>
    </w:p>
    <w:p w14:paraId="0549B33F" w14:textId="77777777" w:rsidR="00F736ED" w:rsidRDefault="001110FC" w:rsidP="001110FC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 xml:space="preserve">6.4 </w:t>
      </w:r>
      <w:r w:rsidR="00260FFF">
        <w:rPr>
          <w:rFonts w:ascii="Arial" w:eastAsia="Arial" w:hAnsi="Arial" w:cs="Arial"/>
        </w:rPr>
        <w:t>Normas técnicas e legislação de prevenção e combate à incêndio</w:t>
      </w:r>
    </w:p>
    <w:p w14:paraId="776E23F1" w14:textId="77777777" w:rsidR="00F736ED" w:rsidRDefault="001110FC" w:rsidP="001110FC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6.5 </w:t>
      </w:r>
      <w:r w:rsidR="00260FFF">
        <w:rPr>
          <w:rFonts w:ascii="Arial" w:eastAsia="Arial" w:hAnsi="Arial" w:cs="Arial"/>
          <w:color w:val="000000"/>
        </w:rPr>
        <w:t>Saídas de emergência</w:t>
      </w:r>
    </w:p>
    <w:p w14:paraId="5765CD42" w14:textId="77777777" w:rsidR="00F736ED" w:rsidRDefault="001110FC" w:rsidP="001110FC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6.6 </w:t>
      </w:r>
      <w:r w:rsidR="00260FFF">
        <w:rPr>
          <w:rFonts w:ascii="Arial" w:eastAsia="Arial" w:hAnsi="Arial" w:cs="Arial"/>
          <w:color w:val="000000"/>
        </w:rPr>
        <w:t>Portas corta-fogo e escadas</w:t>
      </w:r>
    </w:p>
    <w:p w14:paraId="77804ECA" w14:textId="77777777" w:rsidR="00F736ED" w:rsidRDefault="001110FC" w:rsidP="001110FC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6.7 </w:t>
      </w:r>
      <w:r w:rsidR="00260FFF">
        <w:rPr>
          <w:rFonts w:ascii="Arial" w:eastAsia="Arial" w:hAnsi="Arial" w:cs="Arial"/>
          <w:color w:val="000000"/>
        </w:rPr>
        <w:t>Controle e extração da fumaça</w:t>
      </w:r>
    </w:p>
    <w:p w14:paraId="105B9837" w14:textId="77777777" w:rsidR="00F736ED" w:rsidRDefault="001110FC" w:rsidP="001110FC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6.8 </w:t>
      </w:r>
      <w:r w:rsidR="00260FFF">
        <w:rPr>
          <w:rFonts w:ascii="Arial" w:eastAsia="Arial" w:hAnsi="Arial" w:cs="Arial"/>
          <w:color w:val="000000"/>
        </w:rPr>
        <w:t>Sistemas de detecção de incêndio</w:t>
      </w:r>
    </w:p>
    <w:p w14:paraId="24EB4123" w14:textId="77777777" w:rsidR="00F736ED" w:rsidRDefault="001110FC" w:rsidP="001110FC">
      <w:pPr>
        <w:tabs>
          <w:tab w:val="left" w:pos="1560"/>
          <w:tab w:val="left" w:pos="1701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6.9 </w:t>
      </w:r>
      <w:r w:rsidR="00260FFF">
        <w:rPr>
          <w:rFonts w:ascii="Arial" w:eastAsia="Arial" w:hAnsi="Arial" w:cs="Arial"/>
          <w:color w:val="000000"/>
        </w:rPr>
        <w:t>Sistemas de combate a incêndio</w:t>
      </w:r>
    </w:p>
    <w:p w14:paraId="702E964E" w14:textId="77777777" w:rsidR="00F736ED" w:rsidRDefault="001110FC" w:rsidP="001110FC">
      <w:pPr>
        <w:tabs>
          <w:tab w:val="left" w:pos="1560"/>
          <w:tab w:val="left" w:pos="1701"/>
        </w:tabs>
        <w:spacing w:line="240" w:lineRule="auto"/>
        <w:ind w:leftChars="0" w:left="1134" w:firstLineChars="0" w:firstLine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6.9.1 </w:t>
      </w:r>
      <w:r w:rsidR="00260FFF">
        <w:rPr>
          <w:rFonts w:ascii="Arial" w:eastAsia="Arial" w:hAnsi="Arial" w:cs="Arial"/>
          <w:color w:val="000000"/>
        </w:rPr>
        <w:t>Extintores de incêndio</w:t>
      </w:r>
    </w:p>
    <w:p w14:paraId="46493030" w14:textId="77777777" w:rsidR="00F736ED" w:rsidRDefault="001110FC" w:rsidP="001110FC">
      <w:pPr>
        <w:tabs>
          <w:tab w:val="left" w:pos="1560"/>
          <w:tab w:val="left" w:pos="1701"/>
        </w:tabs>
        <w:spacing w:line="240" w:lineRule="auto"/>
        <w:ind w:leftChars="0" w:left="1134" w:firstLineChars="0" w:firstLine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6.9.2 </w:t>
      </w:r>
      <w:r w:rsidR="00260FFF">
        <w:rPr>
          <w:rFonts w:ascii="Arial" w:eastAsia="Arial" w:hAnsi="Arial" w:cs="Arial"/>
          <w:color w:val="000000"/>
        </w:rPr>
        <w:t>Hidrantes e mangotinhos - NBR 13714/2000</w:t>
      </w:r>
    </w:p>
    <w:p w14:paraId="00CA730A" w14:textId="77777777" w:rsidR="00F736ED" w:rsidRDefault="001110FC" w:rsidP="001110FC">
      <w:pPr>
        <w:tabs>
          <w:tab w:val="left" w:pos="1701"/>
          <w:tab w:val="left" w:pos="1985"/>
        </w:tabs>
        <w:spacing w:line="240" w:lineRule="auto"/>
        <w:ind w:leftChars="0" w:left="1134" w:firstLineChars="0" w:firstLine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6.9.3 </w:t>
      </w:r>
      <w:r w:rsidR="00260FFF">
        <w:rPr>
          <w:rFonts w:ascii="Arial" w:eastAsia="Arial" w:hAnsi="Arial" w:cs="Arial"/>
          <w:color w:val="000000"/>
        </w:rPr>
        <w:t>Sistemas automáticos de extinção de incêndios</w:t>
      </w:r>
    </w:p>
    <w:p w14:paraId="71ABF2B0" w14:textId="77777777" w:rsidR="00F736ED" w:rsidRDefault="001110FC" w:rsidP="00BC3ED2">
      <w:pPr>
        <w:tabs>
          <w:tab w:val="left" w:pos="1701"/>
          <w:tab w:val="left" w:pos="1985"/>
        </w:tabs>
        <w:spacing w:line="240" w:lineRule="auto"/>
        <w:ind w:leftChars="0" w:left="1701" w:firstLineChars="0" w:hanging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6.10 </w:t>
      </w:r>
      <w:r w:rsidR="00260FFF">
        <w:rPr>
          <w:rFonts w:ascii="Arial" w:eastAsia="Arial" w:hAnsi="Arial" w:cs="Arial"/>
        </w:rPr>
        <w:t>Medidas de prevenção de desastres em estabelecimentos, edificações e áreas de reunião de público</w:t>
      </w:r>
    </w:p>
    <w:p w14:paraId="6C8A42A5" w14:textId="77777777" w:rsidR="00F736ED" w:rsidRPr="001110FC" w:rsidRDefault="001110FC" w:rsidP="001110FC">
      <w:pPr>
        <w:tabs>
          <w:tab w:val="left" w:pos="1701"/>
          <w:tab w:val="left" w:pos="1985"/>
        </w:tabs>
        <w:spacing w:line="240" w:lineRule="auto"/>
        <w:ind w:leftChars="0" w:left="1134" w:firstLineChars="0" w:firstLine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6.11 </w:t>
      </w:r>
      <w:r w:rsidR="00DF7066">
        <w:rPr>
          <w:rFonts w:ascii="Arial" w:eastAsia="Arial" w:hAnsi="Arial" w:cs="Arial"/>
        </w:rPr>
        <w:t>Plano de prevenção e combate à i</w:t>
      </w:r>
      <w:r w:rsidR="00260FFF" w:rsidRPr="001110FC">
        <w:rPr>
          <w:rFonts w:ascii="Arial" w:eastAsia="Arial" w:hAnsi="Arial" w:cs="Arial"/>
        </w:rPr>
        <w:t>ncêndio</w:t>
      </w:r>
    </w:p>
    <w:p w14:paraId="0F2BB14D" w14:textId="77777777" w:rsidR="00F736ED" w:rsidRPr="001110FC" w:rsidRDefault="00F736ED" w:rsidP="00DF7066">
      <w:pPr>
        <w:spacing w:line="240" w:lineRule="auto"/>
        <w:ind w:leftChars="0" w:left="0" w:firstLineChars="0" w:firstLine="0"/>
        <w:rPr>
          <w:rFonts w:ascii="Arial" w:eastAsia="Arial" w:hAnsi="Arial" w:cs="Arial"/>
        </w:rPr>
      </w:pPr>
    </w:p>
    <w:p w14:paraId="1A3D861B" w14:textId="77777777" w:rsidR="00F736ED" w:rsidRPr="001110FC" w:rsidRDefault="00260FFF" w:rsidP="001110FC">
      <w:pPr>
        <w:spacing w:line="240" w:lineRule="auto"/>
        <w:ind w:left="0" w:hanging="2"/>
        <w:rPr>
          <w:rFonts w:ascii="Arial" w:eastAsia="Arial" w:hAnsi="Arial" w:cs="Arial"/>
        </w:rPr>
      </w:pPr>
      <w:r w:rsidRPr="001110FC">
        <w:rPr>
          <w:rFonts w:ascii="Arial" w:eastAsia="Arial" w:hAnsi="Arial" w:cs="Arial"/>
          <w:b/>
        </w:rPr>
        <w:t>Bibliografia básica</w:t>
      </w:r>
    </w:p>
    <w:p w14:paraId="454E76F3" w14:textId="77777777" w:rsidR="00F736ED" w:rsidRPr="001110FC" w:rsidRDefault="00F736ED" w:rsidP="001110FC">
      <w:pPr>
        <w:spacing w:line="240" w:lineRule="auto"/>
        <w:ind w:left="0" w:hanging="2"/>
        <w:rPr>
          <w:rFonts w:ascii="Arial" w:eastAsia="Arial" w:hAnsi="Arial" w:cs="Arial"/>
        </w:rPr>
      </w:pPr>
    </w:p>
    <w:p w14:paraId="6E362A81" w14:textId="1A75989C" w:rsidR="0078025E" w:rsidRPr="001110FC" w:rsidRDefault="0078025E" w:rsidP="00701B78">
      <w:pPr>
        <w:spacing w:before="120" w:line="240" w:lineRule="auto"/>
        <w:ind w:left="0" w:hanging="2"/>
        <w:jc w:val="both"/>
        <w:rPr>
          <w:rFonts w:ascii="Arial" w:hAnsi="Arial" w:cs="Arial"/>
          <w:color w:val="000000"/>
        </w:rPr>
      </w:pPr>
      <w:r w:rsidRPr="001110FC">
        <w:rPr>
          <w:rFonts w:ascii="Arial" w:hAnsi="Arial" w:cs="Arial"/>
          <w:color w:val="000000"/>
        </w:rPr>
        <w:t xml:space="preserve">CARVALHO JUNIOR, R. DE. </w:t>
      </w:r>
      <w:r w:rsidRPr="001110FC">
        <w:rPr>
          <w:rFonts w:ascii="Arial" w:hAnsi="Arial" w:cs="Arial"/>
          <w:b/>
          <w:bCs/>
          <w:color w:val="000000"/>
        </w:rPr>
        <w:t xml:space="preserve">Interfaces </w:t>
      </w:r>
      <w:r w:rsidR="008D0788" w:rsidRPr="001110FC">
        <w:rPr>
          <w:rFonts w:ascii="Arial" w:hAnsi="Arial" w:cs="Arial"/>
          <w:b/>
          <w:bCs/>
          <w:color w:val="000000"/>
        </w:rPr>
        <w:t>Prediais</w:t>
      </w:r>
      <w:r w:rsidR="008D0788" w:rsidRPr="001110FC">
        <w:rPr>
          <w:rFonts w:ascii="Arial" w:hAnsi="Arial" w:cs="Arial"/>
          <w:color w:val="000000"/>
        </w:rPr>
        <w:t xml:space="preserve"> </w:t>
      </w:r>
      <w:r w:rsidRPr="001110FC">
        <w:rPr>
          <w:rFonts w:ascii="Arial" w:hAnsi="Arial" w:cs="Arial"/>
          <w:b/>
          <w:color w:val="000000"/>
        </w:rPr>
        <w:t xml:space="preserve">- </w:t>
      </w:r>
      <w:r w:rsidRPr="008D0788">
        <w:rPr>
          <w:rFonts w:ascii="Arial" w:hAnsi="Arial" w:cs="Arial"/>
          <w:bCs/>
          <w:color w:val="000000"/>
        </w:rPr>
        <w:t>hidráulica, gás, segurança contra incêndio, elétrica, telefonia e NBR 15575: norma de desempenho</w:t>
      </w:r>
      <w:r w:rsidRPr="001110FC">
        <w:rPr>
          <w:rFonts w:ascii="Arial" w:hAnsi="Arial" w:cs="Arial"/>
          <w:color w:val="000000"/>
        </w:rPr>
        <w:t>. Rio d</w:t>
      </w:r>
      <w:r w:rsidR="001110FC">
        <w:rPr>
          <w:rFonts w:ascii="Arial" w:hAnsi="Arial" w:cs="Arial"/>
          <w:color w:val="000000"/>
        </w:rPr>
        <w:t>e Janeiro: Blucher, 2019</w:t>
      </w:r>
      <w:r w:rsidR="00DF7066">
        <w:rPr>
          <w:rFonts w:ascii="Arial" w:hAnsi="Arial" w:cs="Arial"/>
          <w:color w:val="000000"/>
        </w:rPr>
        <w:t>.</w:t>
      </w:r>
    </w:p>
    <w:p w14:paraId="2F099C16" w14:textId="50EEA845" w:rsidR="0078025E" w:rsidRPr="001110FC" w:rsidRDefault="0078025E" w:rsidP="00701B78">
      <w:pPr>
        <w:spacing w:before="120" w:line="240" w:lineRule="auto"/>
        <w:ind w:left="0" w:hanging="2"/>
        <w:jc w:val="both"/>
        <w:rPr>
          <w:rFonts w:ascii="Arial" w:hAnsi="Arial" w:cs="Arial"/>
          <w:color w:val="000000"/>
        </w:rPr>
      </w:pPr>
      <w:r w:rsidRPr="001110FC">
        <w:rPr>
          <w:rFonts w:ascii="Arial" w:hAnsi="Arial" w:cs="Arial"/>
          <w:color w:val="000000"/>
        </w:rPr>
        <w:t>CREDER, Hélio</w:t>
      </w:r>
      <w:r w:rsidRPr="001110FC">
        <w:rPr>
          <w:rFonts w:ascii="Arial" w:hAnsi="Arial" w:cs="Arial"/>
          <w:b/>
          <w:bCs/>
          <w:color w:val="000000"/>
        </w:rPr>
        <w:t xml:space="preserve">. Instalações Hidráulicas e Sanitárias. </w:t>
      </w:r>
      <w:r w:rsidR="001110FC">
        <w:rPr>
          <w:rFonts w:ascii="Arial" w:hAnsi="Arial" w:cs="Arial"/>
          <w:color w:val="000000"/>
        </w:rPr>
        <w:t>6</w:t>
      </w:r>
      <w:r w:rsidR="008D0788">
        <w:rPr>
          <w:rFonts w:ascii="Arial" w:hAnsi="Arial" w:cs="Arial"/>
          <w:color w:val="000000"/>
        </w:rPr>
        <w:t>.</w:t>
      </w:r>
      <w:r w:rsidRPr="001110FC">
        <w:rPr>
          <w:rFonts w:ascii="Arial" w:hAnsi="Arial" w:cs="Arial"/>
          <w:color w:val="000000"/>
        </w:rPr>
        <w:t>ed. Rio de Janeiro</w:t>
      </w:r>
      <w:r w:rsidR="001110FC">
        <w:rPr>
          <w:rFonts w:ascii="Arial" w:hAnsi="Arial" w:cs="Arial"/>
          <w:color w:val="000000"/>
        </w:rPr>
        <w:t>: LTC, 2011</w:t>
      </w:r>
      <w:r w:rsidR="00DF7066">
        <w:rPr>
          <w:rFonts w:ascii="Arial" w:hAnsi="Arial" w:cs="Arial"/>
          <w:color w:val="000000"/>
        </w:rPr>
        <w:t>.</w:t>
      </w:r>
    </w:p>
    <w:p w14:paraId="1EB5D056" w14:textId="29EA1742" w:rsidR="0078025E" w:rsidRPr="001110FC" w:rsidRDefault="0078025E" w:rsidP="00701B78">
      <w:pPr>
        <w:spacing w:before="120" w:line="240" w:lineRule="auto"/>
        <w:ind w:left="0" w:hanging="2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1110FC">
        <w:rPr>
          <w:rFonts w:ascii="Arial" w:hAnsi="Arial" w:cs="Arial"/>
          <w:color w:val="000000" w:themeColor="text1"/>
          <w:shd w:val="clear" w:color="auto" w:fill="FFFFFF"/>
        </w:rPr>
        <w:t xml:space="preserve">ROCHA, J. A. </w:t>
      </w:r>
      <w:r w:rsidRPr="001110FC">
        <w:rPr>
          <w:rFonts w:ascii="Arial" w:hAnsi="Arial" w:cs="Arial"/>
          <w:b/>
          <w:bCs/>
          <w:color w:val="000000" w:themeColor="text1"/>
          <w:shd w:val="clear" w:color="auto" w:fill="FFFFFF"/>
        </w:rPr>
        <w:t xml:space="preserve">Segurança contra </w:t>
      </w:r>
      <w:r w:rsidR="00701B78" w:rsidRPr="001110FC">
        <w:rPr>
          <w:rFonts w:ascii="Arial" w:hAnsi="Arial" w:cs="Arial"/>
          <w:b/>
          <w:bCs/>
          <w:color w:val="000000" w:themeColor="text1"/>
          <w:shd w:val="clear" w:color="auto" w:fill="FFFFFF"/>
        </w:rPr>
        <w:t xml:space="preserve">Incêndios </w:t>
      </w:r>
      <w:r w:rsidRPr="001110FC">
        <w:rPr>
          <w:rFonts w:ascii="Arial" w:hAnsi="Arial" w:cs="Arial"/>
          <w:b/>
          <w:bCs/>
          <w:color w:val="000000" w:themeColor="text1"/>
          <w:shd w:val="clear" w:color="auto" w:fill="FFFFFF"/>
        </w:rPr>
        <w:t xml:space="preserve">em </w:t>
      </w:r>
      <w:r w:rsidR="00701B78" w:rsidRPr="001110FC">
        <w:rPr>
          <w:rFonts w:ascii="Arial" w:hAnsi="Arial" w:cs="Arial"/>
          <w:b/>
          <w:bCs/>
          <w:color w:val="000000" w:themeColor="text1"/>
          <w:shd w:val="clear" w:color="auto" w:fill="FFFFFF"/>
        </w:rPr>
        <w:t>Edifícios</w:t>
      </w:r>
      <w:r w:rsidRPr="001110FC">
        <w:rPr>
          <w:rFonts w:ascii="Arial" w:hAnsi="Arial" w:cs="Arial"/>
          <w:b/>
          <w:bCs/>
          <w:color w:val="000000" w:themeColor="text1"/>
          <w:shd w:val="clear" w:color="auto" w:fill="FFFFFF"/>
        </w:rPr>
        <w:t xml:space="preserve">. </w:t>
      </w:r>
      <w:r w:rsidRPr="008D0788">
        <w:rPr>
          <w:rFonts w:ascii="Arial" w:hAnsi="Arial" w:cs="Arial"/>
          <w:color w:val="000000" w:themeColor="text1"/>
          <w:shd w:val="clear" w:color="auto" w:fill="FFFFFF"/>
        </w:rPr>
        <w:t>Regulamentação anotada e ilustrada</w:t>
      </w:r>
      <w:r w:rsidRPr="001110FC">
        <w:rPr>
          <w:rFonts w:ascii="Arial" w:hAnsi="Arial" w:cs="Arial"/>
          <w:color w:val="000000" w:themeColor="text1"/>
          <w:shd w:val="clear" w:color="auto" w:fill="FFFFFF"/>
        </w:rPr>
        <w:t xml:space="preserve">. São </w:t>
      </w:r>
      <w:r w:rsidR="001110FC">
        <w:rPr>
          <w:rFonts w:ascii="Arial" w:hAnsi="Arial" w:cs="Arial"/>
          <w:color w:val="000000" w:themeColor="text1"/>
          <w:shd w:val="clear" w:color="auto" w:fill="FFFFFF"/>
        </w:rPr>
        <w:t>Paulo: Estação das Letras, 2017</w:t>
      </w:r>
      <w:r w:rsidR="00DF7066">
        <w:rPr>
          <w:rFonts w:ascii="Arial" w:hAnsi="Arial" w:cs="Arial"/>
          <w:color w:val="000000" w:themeColor="text1"/>
          <w:shd w:val="clear" w:color="auto" w:fill="FFFFFF"/>
        </w:rPr>
        <w:t>.</w:t>
      </w:r>
    </w:p>
    <w:p w14:paraId="40062CA3" w14:textId="77777777" w:rsidR="001110FC" w:rsidRDefault="001110FC" w:rsidP="00701B78">
      <w:pPr>
        <w:spacing w:before="120" w:line="240" w:lineRule="auto"/>
        <w:ind w:left="0" w:hanging="2"/>
        <w:rPr>
          <w:rFonts w:ascii="Arial" w:hAnsi="Arial" w:cs="Arial"/>
          <w:b/>
          <w:bCs/>
          <w:color w:val="000000"/>
          <w:position w:val="0"/>
        </w:rPr>
      </w:pPr>
    </w:p>
    <w:p w14:paraId="47EB484C" w14:textId="77777777" w:rsidR="0078025E" w:rsidRPr="001110FC" w:rsidRDefault="00687FBB" w:rsidP="001110FC">
      <w:pPr>
        <w:spacing w:line="240" w:lineRule="auto"/>
        <w:ind w:left="0" w:hanging="2"/>
        <w:rPr>
          <w:rFonts w:ascii="Arial" w:hAnsi="Arial" w:cs="Arial"/>
          <w:color w:val="000000"/>
        </w:rPr>
      </w:pPr>
      <w:r w:rsidRPr="001110FC">
        <w:rPr>
          <w:rFonts w:ascii="Arial" w:hAnsi="Arial" w:cs="Arial"/>
          <w:b/>
          <w:bCs/>
          <w:color w:val="000000"/>
          <w:position w:val="0"/>
        </w:rPr>
        <w:t>Bibliografia complementar</w:t>
      </w:r>
      <w:r w:rsidRPr="001110FC">
        <w:rPr>
          <w:rFonts w:ascii="Arial" w:hAnsi="Arial" w:cs="Arial"/>
          <w:b/>
          <w:bCs/>
          <w:color w:val="000000"/>
          <w:position w:val="0"/>
        </w:rPr>
        <w:tab/>
      </w:r>
    </w:p>
    <w:p w14:paraId="284178B5" w14:textId="77777777" w:rsidR="001110FC" w:rsidRDefault="001110FC" w:rsidP="001110FC">
      <w:pPr>
        <w:spacing w:line="240" w:lineRule="auto"/>
        <w:ind w:left="0" w:hanging="2"/>
        <w:rPr>
          <w:rFonts w:ascii="Arial" w:hAnsi="Arial" w:cs="Arial"/>
          <w:color w:val="000000"/>
        </w:rPr>
      </w:pPr>
    </w:p>
    <w:p w14:paraId="72C07D36" w14:textId="26832D53" w:rsidR="0078025E" w:rsidRPr="001110FC" w:rsidRDefault="0078025E" w:rsidP="008D0788">
      <w:pPr>
        <w:spacing w:before="120" w:line="240" w:lineRule="auto"/>
        <w:ind w:left="0" w:hanging="2"/>
        <w:jc w:val="both"/>
        <w:rPr>
          <w:rFonts w:ascii="Arial" w:hAnsi="Arial" w:cs="Arial"/>
          <w:color w:val="000000"/>
        </w:rPr>
      </w:pPr>
      <w:r w:rsidRPr="001110FC">
        <w:rPr>
          <w:rFonts w:ascii="Arial" w:hAnsi="Arial" w:cs="Arial"/>
          <w:color w:val="000000"/>
        </w:rPr>
        <w:t xml:space="preserve">BOTELHO, Manoel Henrique Campos. </w:t>
      </w:r>
      <w:r w:rsidR="00DF7066">
        <w:rPr>
          <w:rFonts w:ascii="Arial" w:hAnsi="Arial" w:cs="Arial"/>
          <w:b/>
          <w:bCs/>
          <w:color w:val="000000"/>
        </w:rPr>
        <w:t>Instalações h</w:t>
      </w:r>
      <w:r w:rsidRPr="001110FC">
        <w:rPr>
          <w:rFonts w:ascii="Arial" w:hAnsi="Arial" w:cs="Arial"/>
          <w:b/>
          <w:bCs/>
          <w:color w:val="000000"/>
        </w:rPr>
        <w:t>idráulicas prediais usando tubos de PVC e PPR.</w:t>
      </w:r>
      <w:r w:rsidR="001110FC">
        <w:rPr>
          <w:rFonts w:ascii="Arial" w:hAnsi="Arial" w:cs="Arial"/>
          <w:color w:val="000000"/>
        </w:rPr>
        <w:t xml:space="preserve"> 3</w:t>
      </w:r>
      <w:r w:rsidR="008D0788">
        <w:rPr>
          <w:rFonts w:ascii="Arial" w:hAnsi="Arial" w:cs="Arial"/>
          <w:color w:val="000000"/>
        </w:rPr>
        <w:t>.</w:t>
      </w:r>
      <w:r w:rsidR="001110FC">
        <w:rPr>
          <w:rFonts w:ascii="Arial" w:hAnsi="Arial" w:cs="Arial"/>
          <w:color w:val="000000"/>
        </w:rPr>
        <w:t>ed. São Paulo: Blucher, 2010</w:t>
      </w:r>
      <w:r w:rsidR="00DF7066">
        <w:rPr>
          <w:rFonts w:ascii="Arial" w:hAnsi="Arial" w:cs="Arial"/>
          <w:color w:val="000000"/>
        </w:rPr>
        <w:t>.</w:t>
      </w:r>
    </w:p>
    <w:p w14:paraId="5D906911" w14:textId="223B4D2F" w:rsidR="0078025E" w:rsidRPr="001110FC" w:rsidRDefault="0078025E" w:rsidP="008D0788">
      <w:pPr>
        <w:spacing w:before="120" w:line="240" w:lineRule="auto"/>
        <w:ind w:left="0" w:hanging="2"/>
        <w:jc w:val="both"/>
        <w:rPr>
          <w:rFonts w:ascii="Arial" w:hAnsi="Arial" w:cs="Arial"/>
          <w:color w:val="000000"/>
        </w:rPr>
      </w:pPr>
      <w:r w:rsidRPr="001110FC">
        <w:rPr>
          <w:rFonts w:ascii="Arial" w:hAnsi="Arial" w:cs="Arial"/>
          <w:color w:val="000000"/>
        </w:rPr>
        <w:t xml:space="preserve">JUNIOR; R.C. </w:t>
      </w:r>
      <w:r w:rsidRPr="001110FC">
        <w:rPr>
          <w:rFonts w:ascii="Arial" w:hAnsi="Arial" w:cs="Arial"/>
          <w:b/>
          <w:bCs/>
          <w:color w:val="000000"/>
        </w:rPr>
        <w:t>Instalaç</w:t>
      </w:r>
      <w:r w:rsidR="00DF7066">
        <w:rPr>
          <w:rFonts w:ascii="Arial" w:hAnsi="Arial" w:cs="Arial"/>
          <w:b/>
          <w:bCs/>
          <w:color w:val="000000"/>
        </w:rPr>
        <w:t xml:space="preserve">ões </w:t>
      </w:r>
      <w:r w:rsidR="008D0788">
        <w:rPr>
          <w:rFonts w:ascii="Arial" w:hAnsi="Arial" w:cs="Arial"/>
          <w:b/>
          <w:bCs/>
          <w:color w:val="000000"/>
        </w:rPr>
        <w:t xml:space="preserve">Hidráulicas </w:t>
      </w:r>
      <w:r w:rsidR="00DF7066">
        <w:rPr>
          <w:rFonts w:ascii="Arial" w:hAnsi="Arial" w:cs="Arial"/>
          <w:b/>
          <w:bCs/>
          <w:color w:val="000000"/>
        </w:rPr>
        <w:t xml:space="preserve">e o </w:t>
      </w:r>
      <w:r w:rsidR="008D0788">
        <w:rPr>
          <w:rFonts w:ascii="Arial" w:hAnsi="Arial" w:cs="Arial"/>
          <w:b/>
          <w:bCs/>
          <w:color w:val="000000"/>
        </w:rPr>
        <w:t xml:space="preserve">Projeto </w:t>
      </w:r>
      <w:r w:rsidR="00DF7066">
        <w:rPr>
          <w:rFonts w:ascii="Arial" w:hAnsi="Arial" w:cs="Arial"/>
          <w:b/>
          <w:bCs/>
          <w:color w:val="000000"/>
        </w:rPr>
        <w:t xml:space="preserve">de </w:t>
      </w:r>
      <w:r w:rsidR="008D0788">
        <w:rPr>
          <w:rFonts w:ascii="Arial" w:hAnsi="Arial" w:cs="Arial"/>
          <w:b/>
          <w:bCs/>
          <w:color w:val="000000"/>
        </w:rPr>
        <w:t>A</w:t>
      </w:r>
      <w:r w:rsidR="008D0788" w:rsidRPr="001110FC">
        <w:rPr>
          <w:rFonts w:ascii="Arial" w:hAnsi="Arial" w:cs="Arial"/>
          <w:b/>
          <w:bCs/>
          <w:color w:val="000000"/>
        </w:rPr>
        <w:t>rquitetura</w:t>
      </w:r>
      <w:r w:rsidR="001110FC">
        <w:rPr>
          <w:rFonts w:ascii="Arial" w:hAnsi="Arial" w:cs="Arial"/>
          <w:color w:val="000000"/>
        </w:rPr>
        <w:t>. 3</w:t>
      </w:r>
      <w:r w:rsidR="008D0788">
        <w:rPr>
          <w:rFonts w:ascii="Arial" w:hAnsi="Arial" w:cs="Arial"/>
          <w:color w:val="000000"/>
        </w:rPr>
        <w:t>.</w:t>
      </w:r>
      <w:r w:rsidRPr="001110FC">
        <w:rPr>
          <w:rFonts w:ascii="Arial" w:hAnsi="Arial" w:cs="Arial"/>
          <w:color w:val="000000"/>
        </w:rPr>
        <w:t xml:space="preserve">ed. </w:t>
      </w:r>
      <w:r w:rsidR="001110FC">
        <w:rPr>
          <w:rFonts w:ascii="Arial" w:hAnsi="Arial" w:cs="Arial"/>
          <w:color w:val="000000"/>
        </w:rPr>
        <w:t>São Paulo: Blucher, 2010</w:t>
      </w:r>
      <w:r w:rsidR="00DF7066">
        <w:rPr>
          <w:rFonts w:ascii="Arial" w:hAnsi="Arial" w:cs="Arial"/>
          <w:color w:val="000000"/>
        </w:rPr>
        <w:t>.</w:t>
      </w:r>
    </w:p>
    <w:p w14:paraId="24E75C29" w14:textId="70A62BAF" w:rsidR="00687FBB" w:rsidRPr="00810BA1" w:rsidRDefault="0078025E" w:rsidP="00D51ACA">
      <w:pPr>
        <w:spacing w:before="120" w:line="240" w:lineRule="auto"/>
        <w:ind w:left="0" w:hanging="2"/>
        <w:jc w:val="both"/>
        <w:rPr>
          <w:rFonts w:ascii="Arial" w:hAnsi="Arial" w:cs="Arial"/>
          <w:color w:val="000000"/>
          <w:position w:val="0"/>
        </w:rPr>
      </w:pPr>
      <w:r w:rsidRPr="001110FC">
        <w:rPr>
          <w:rFonts w:ascii="Arial" w:hAnsi="Arial" w:cs="Arial"/>
          <w:color w:val="000000"/>
        </w:rPr>
        <w:t xml:space="preserve">SALGADO, Julio Cesar Pereira. </w:t>
      </w:r>
      <w:r w:rsidRPr="001110FC">
        <w:rPr>
          <w:rFonts w:ascii="Arial" w:hAnsi="Arial" w:cs="Arial"/>
          <w:b/>
          <w:bCs/>
          <w:color w:val="000000"/>
        </w:rPr>
        <w:t xml:space="preserve">Instalação </w:t>
      </w:r>
      <w:r w:rsidR="008D0788" w:rsidRPr="001110FC">
        <w:rPr>
          <w:rFonts w:ascii="Arial" w:hAnsi="Arial" w:cs="Arial"/>
          <w:b/>
          <w:bCs/>
          <w:color w:val="000000"/>
        </w:rPr>
        <w:t>Hidráulica Residencial</w:t>
      </w:r>
      <w:r w:rsidRPr="001110FC">
        <w:rPr>
          <w:rFonts w:ascii="Arial" w:hAnsi="Arial" w:cs="Arial"/>
          <w:b/>
          <w:bCs/>
          <w:color w:val="000000"/>
        </w:rPr>
        <w:t xml:space="preserve">: </w:t>
      </w:r>
      <w:r w:rsidRPr="008D0788">
        <w:rPr>
          <w:rFonts w:ascii="Arial" w:hAnsi="Arial" w:cs="Arial"/>
          <w:color w:val="000000"/>
        </w:rPr>
        <w:t>a prática do dia a dia</w:t>
      </w:r>
      <w:r w:rsidR="008D0788">
        <w:rPr>
          <w:rFonts w:ascii="Arial" w:hAnsi="Arial" w:cs="Arial"/>
          <w:color w:val="000000"/>
        </w:rPr>
        <w:t xml:space="preserve">. </w:t>
      </w:r>
      <w:r w:rsidR="001110FC">
        <w:rPr>
          <w:rFonts w:ascii="Arial" w:hAnsi="Arial" w:cs="Arial"/>
          <w:color w:val="000000"/>
        </w:rPr>
        <w:t>São Paulo: Erica, 2010</w:t>
      </w:r>
      <w:r w:rsidR="00DF7066">
        <w:rPr>
          <w:rFonts w:ascii="Arial" w:hAnsi="Arial" w:cs="Arial"/>
          <w:color w:val="000000"/>
        </w:rPr>
        <w:t>.</w:t>
      </w:r>
      <w:r w:rsidR="00687FBB" w:rsidRPr="00810BA1">
        <w:rPr>
          <w:rFonts w:ascii="Arial" w:hAnsi="Arial" w:cs="Arial"/>
          <w:color w:val="000000"/>
          <w:position w:val="0"/>
        </w:rPr>
        <w:t> </w:t>
      </w:r>
      <w:r w:rsidR="00687FBB" w:rsidRPr="00C015C7">
        <w:rPr>
          <w:rFonts w:ascii="Arial" w:hAnsi="Arial" w:cs="Arial"/>
          <w:color w:val="000000"/>
        </w:rPr>
        <w:t xml:space="preserve"> </w:t>
      </w:r>
    </w:p>
    <w:p w14:paraId="5AC75334" w14:textId="77777777" w:rsidR="00F736ED" w:rsidRDefault="00F736ED" w:rsidP="001110FC">
      <w:pPr>
        <w:spacing w:line="240" w:lineRule="auto"/>
        <w:ind w:left="0" w:hanging="2"/>
        <w:rPr>
          <w:rFonts w:ascii="Arial" w:eastAsia="Arial" w:hAnsi="Arial" w:cs="Arial"/>
        </w:rPr>
      </w:pPr>
    </w:p>
    <w:sectPr w:rsidR="00F736ED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5B52F" w14:textId="77777777" w:rsidR="00BB2BEB" w:rsidRDefault="00BB2BEB">
      <w:pPr>
        <w:spacing w:line="240" w:lineRule="auto"/>
        <w:ind w:left="0" w:hanging="2"/>
      </w:pPr>
      <w:r>
        <w:separator/>
      </w:r>
    </w:p>
  </w:endnote>
  <w:endnote w:type="continuationSeparator" w:id="0">
    <w:p w14:paraId="23AB089E" w14:textId="77777777" w:rsidR="00BB2BEB" w:rsidRDefault="00BB2BE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E13FF" w14:textId="77777777" w:rsidR="00BB2BEB" w:rsidRDefault="00BB2BEB">
      <w:pPr>
        <w:spacing w:line="240" w:lineRule="auto"/>
        <w:ind w:left="0" w:hanging="2"/>
      </w:pPr>
      <w:r>
        <w:separator/>
      </w:r>
    </w:p>
  </w:footnote>
  <w:footnote w:type="continuationSeparator" w:id="0">
    <w:p w14:paraId="7D9699CA" w14:textId="77777777" w:rsidR="00BB2BEB" w:rsidRDefault="00BB2BE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84531" w14:textId="77777777" w:rsidR="00F736ED" w:rsidRDefault="00260FFF">
    <w:pPr>
      <w:ind w:left="0" w:hanging="2"/>
      <w:jc w:val="center"/>
    </w:pPr>
    <w:r>
      <w:rPr>
        <w:noProof/>
      </w:rPr>
      <w:drawing>
        <wp:inline distT="0" distB="0" distL="114300" distR="114300" wp14:anchorId="74D4C105" wp14:editId="20FDCB6A">
          <wp:extent cx="423545" cy="471805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71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1635A05" w14:textId="77777777" w:rsidR="00F736ED" w:rsidRDefault="00F736ED">
    <w:pPr>
      <w:ind w:left="-2" w:firstLine="0"/>
      <w:jc w:val="center"/>
      <w:rPr>
        <w:rFonts w:ascii="Arial" w:eastAsia="Arial" w:hAnsi="Arial" w:cs="Arial"/>
        <w:sz w:val="2"/>
        <w:szCs w:val="2"/>
      </w:rPr>
    </w:pPr>
  </w:p>
  <w:p w14:paraId="2B8136FA" w14:textId="77777777" w:rsidR="00F736ED" w:rsidRDefault="00260FFF">
    <w:pPr>
      <w:ind w:left="0" w:hanging="2"/>
      <w:jc w:val="center"/>
      <w:rPr>
        <w:rFonts w:ascii="Arial" w:eastAsia="Arial" w:hAnsi="Arial" w:cs="Arial"/>
        <w:sz w:val="21"/>
        <w:szCs w:val="21"/>
      </w:rPr>
    </w:pPr>
    <w:r>
      <w:rPr>
        <w:rFonts w:ascii="Arial" w:eastAsia="Arial" w:hAnsi="Arial" w:cs="Arial"/>
        <w:sz w:val="21"/>
        <w:szCs w:val="21"/>
      </w:rPr>
      <w:t>Serviço Público Federal</w:t>
    </w:r>
  </w:p>
  <w:p w14:paraId="1726E166" w14:textId="77777777" w:rsidR="00F736ED" w:rsidRDefault="00260FFF">
    <w:pPr>
      <w:ind w:left="0" w:hanging="2"/>
      <w:jc w:val="center"/>
      <w:rPr>
        <w:rFonts w:ascii="Arial" w:eastAsia="Arial" w:hAnsi="Arial" w:cs="Arial"/>
        <w:sz w:val="21"/>
        <w:szCs w:val="21"/>
      </w:rPr>
    </w:pPr>
    <w:r>
      <w:rPr>
        <w:rFonts w:ascii="Arial" w:eastAsia="Arial" w:hAnsi="Arial" w:cs="Arial"/>
        <w:sz w:val="21"/>
        <w:szCs w:val="21"/>
      </w:rPr>
      <w:t>Instituto Federal de Educação, Ciência e Tecnologia Sul-rio-grandense</w:t>
    </w:r>
  </w:p>
  <w:p w14:paraId="49A1D1F5" w14:textId="77777777" w:rsidR="00F736ED" w:rsidRDefault="00260FFF">
    <w:pPr>
      <w:ind w:left="0" w:hanging="2"/>
      <w:jc w:val="center"/>
      <w:rPr>
        <w:rFonts w:ascii="Arial" w:eastAsia="Arial" w:hAnsi="Arial" w:cs="Arial"/>
        <w:sz w:val="21"/>
        <w:szCs w:val="21"/>
      </w:rPr>
    </w:pPr>
    <w:r>
      <w:rPr>
        <w:rFonts w:ascii="Arial" w:eastAsia="Arial" w:hAnsi="Arial" w:cs="Arial"/>
        <w:sz w:val="21"/>
        <w:szCs w:val="21"/>
      </w:rPr>
      <w:t>Pró-Reitoria de Ensino</w:t>
    </w:r>
  </w:p>
  <w:p w14:paraId="60007DEB" w14:textId="77777777" w:rsidR="00F736ED" w:rsidRDefault="00F736ED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663C"/>
    <w:multiLevelType w:val="multilevel"/>
    <w:tmpl w:val="94F29782"/>
    <w:lvl w:ilvl="0">
      <w:start w:val="5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vertAlign w:val="baseline"/>
      </w:rPr>
    </w:lvl>
  </w:abstractNum>
  <w:abstractNum w:abstractNumId="1" w15:restartNumberingAfterBreak="0">
    <w:nsid w:val="29BF390A"/>
    <w:multiLevelType w:val="multilevel"/>
    <w:tmpl w:val="D65AE9D0"/>
    <w:lvl w:ilvl="0">
      <w:start w:val="6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vertAlign w:val="baseline"/>
      </w:rPr>
    </w:lvl>
  </w:abstractNum>
  <w:abstractNum w:abstractNumId="2" w15:restartNumberingAfterBreak="0">
    <w:nsid w:val="49BC6F00"/>
    <w:multiLevelType w:val="multilevel"/>
    <w:tmpl w:val="4A9C9182"/>
    <w:lvl w:ilvl="0">
      <w:start w:val="1"/>
      <w:numFmt w:val="decimal"/>
      <w:lvlText w:val="%1"/>
      <w:lvlJc w:val="left"/>
      <w:pPr>
        <w:ind w:left="400" w:hanging="40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108" w:hanging="40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vertAlign w:val="baseline"/>
      </w:rPr>
    </w:lvl>
  </w:abstractNum>
  <w:abstractNum w:abstractNumId="3" w15:restartNumberingAfterBreak="0">
    <w:nsid w:val="54AF0F3B"/>
    <w:multiLevelType w:val="multilevel"/>
    <w:tmpl w:val="F8B02C4C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vertAlign w:val="baseline"/>
      </w:rPr>
    </w:lvl>
  </w:abstractNum>
  <w:abstractNum w:abstractNumId="4" w15:restartNumberingAfterBreak="0">
    <w:nsid w:val="575D62E0"/>
    <w:multiLevelType w:val="multilevel"/>
    <w:tmpl w:val="E2766B12"/>
    <w:lvl w:ilvl="0">
      <w:start w:val="4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vertAlign w:val="baseline"/>
      </w:rPr>
    </w:lvl>
  </w:abstractNum>
  <w:abstractNum w:abstractNumId="5" w15:restartNumberingAfterBreak="0">
    <w:nsid w:val="62C029E5"/>
    <w:multiLevelType w:val="multilevel"/>
    <w:tmpl w:val="CF06CCCE"/>
    <w:lvl w:ilvl="0">
      <w:start w:val="3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6ED"/>
    <w:rsid w:val="00004C3C"/>
    <w:rsid w:val="001110FC"/>
    <w:rsid w:val="00260FFF"/>
    <w:rsid w:val="00276B4E"/>
    <w:rsid w:val="002A2BBA"/>
    <w:rsid w:val="002B4C7E"/>
    <w:rsid w:val="00343D34"/>
    <w:rsid w:val="003F392B"/>
    <w:rsid w:val="00687FBB"/>
    <w:rsid w:val="00693542"/>
    <w:rsid w:val="00701B78"/>
    <w:rsid w:val="0078025E"/>
    <w:rsid w:val="008D0788"/>
    <w:rsid w:val="00A921E5"/>
    <w:rsid w:val="00BB2BEB"/>
    <w:rsid w:val="00BC3ED2"/>
    <w:rsid w:val="00BF070D"/>
    <w:rsid w:val="00CC6565"/>
    <w:rsid w:val="00D51ACA"/>
    <w:rsid w:val="00DE660E"/>
    <w:rsid w:val="00DF7066"/>
    <w:rsid w:val="00E70771"/>
    <w:rsid w:val="00F7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B927E"/>
  <w15:docId w15:val="{02CE1BBE-70EB-EB40-8160-3BC42959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</w:style>
  <w:style w:type="character" w:styleId="nfase">
    <w:name w:val="Emphasis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t">
    <w:name w:val="f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customStyle="1" w:styleId="texto21">
    <w:name w:val="texto21"/>
    <w:rPr>
      <w:rFonts w:ascii="Verdana" w:hAnsi="Verdana" w:hint="default"/>
      <w:color w:val="333333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XaGoBZ8a0H42eKxeyofeOS8Tiw==">AMUW2mV1In7FUvMlAOdi8U4CAtL8CEP+jNrUPJOX7sMKqNNvS6OXdE7tvUPFn8szAsI8ou6m+lKWNLG1CS5+J/LTG3xqMG7qiB0AE72YVEbf5ZNsubnEhfo=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499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12</cp:revision>
  <dcterms:created xsi:type="dcterms:W3CDTF">2020-09-28T11:52:00Z</dcterms:created>
  <dcterms:modified xsi:type="dcterms:W3CDTF">2021-08-26T20:25:00Z</dcterms:modified>
</cp:coreProperties>
</file>